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976" w:rsidRPr="00472976" w:rsidRDefault="00472976" w:rsidP="00472976">
      <w:pPr>
        <w:spacing w:before="100" w:beforeAutospacing="1" w:after="100" w:afterAutospacing="1"/>
        <w:jc w:val="center"/>
        <w:rPr>
          <w:rFonts w:ascii="Times" w:hAnsi="Times" w:cs="Times New Roman"/>
          <w:sz w:val="20"/>
          <w:szCs w:val="20"/>
          <w:lang w:eastAsia="en-US"/>
        </w:rPr>
      </w:pPr>
      <w:r w:rsidRPr="00472976">
        <w:rPr>
          <w:rFonts w:ascii="Times" w:hAnsi="Times" w:cs="Times New Roman"/>
          <w:b/>
          <w:bCs/>
          <w:lang w:eastAsia="en-US"/>
        </w:rPr>
        <w:t>TPG Growth Closes Third Fund with $3 Billion in Capital Commitments</w:t>
      </w:r>
    </w:p>
    <w:p w:rsidR="00472976" w:rsidRPr="00472976" w:rsidRDefault="00472976" w:rsidP="00472976">
      <w:pPr>
        <w:spacing w:before="100" w:beforeAutospacing="1" w:after="100" w:afterAutospacing="1"/>
        <w:jc w:val="center"/>
        <w:rPr>
          <w:rFonts w:ascii="Times" w:hAnsi="Times" w:cs="Times New Roman"/>
          <w:sz w:val="20"/>
          <w:szCs w:val="20"/>
          <w:lang w:eastAsia="en-US"/>
        </w:rPr>
      </w:pPr>
      <w:r w:rsidRPr="00472976">
        <w:rPr>
          <w:rFonts w:ascii="Times" w:hAnsi="Times" w:cs="Times New Roman"/>
          <w:i/>
          <w:iCs/>
          <w:color w:val="000000"/>
          <w:sz w:val="20"/>
          <w:szCs w:val="20"/>
          <w:lang w:eastAsia="en-US"/>
        </w:rPr>
        <w:t xml:space="preserve">Fund Surpasses Fundraising Target </w:t>
      </w:r>
    </w:p>
    <w:p w:rsidR="00472976" w:rsidRPr="00472976" w:rsidRDefault="00472976" w:rsidP="00472976">
      <w:pPr>
        <w:spacing w:line="276" w:lineRule="auto"/>
        <w:jc w:val="both"/>
        <w:rPr>
          <w:rFonts w:ascii="Times" w:hAnsi="Times" w:cs="Times New Roman"/>
          <w:sz w:val="20"/>
          <w:szCs w:val="20"/>
          <w:lang w:eastAsia="en-US"/>
        </w:rPr>
      </w:pPr>
      <w:r w:rsidRPr="00472976">
        <w:rPr>
          <w:rFonts w:ascii="Calibri" w:hAnsi="Calibri" w:cs="Times New Roman"/>
          <w:b/>
          <w:bCs/>
          <w:sz w:val="22"/>
          <w:szCs w:val="22"/>
          <w:lang w:eastAsia="en-US"/>
        </w:rPr>
        <w:t>San Francisco – April 27, 2015</w:t>
      </w:r>
      <w:r w:rsidRPr="00472976">
        <w:rPr>
          <w:rFonts w:ascii="Calibri" w:hAnsi="Calibri" w:cs="Times New Roman"/>
          <w:sz w:val="22"/>
          <w:szCs w:val="22"/>
          <w:lang w:eastAsia="en-US"/>
        </w:rPr>
        <w:t xml:space="preserve"> </w:t>
      </w:r>
      <w:r w:rsidRPr="00472976">
        <w:rPr>
          <w:rFonts w:ascii="Calibri" w:hAnsi="Calibri" w:cs="Times New Roman"/>
          <w:b/>
          <w:bCs/>
          <w:sz w:val="22"/>
          <w:szCs w:val="22"/>
          <w:lang w:eastAsia="en-US"/>
        </w:rPr>
        <w:t>–</w:t>
      </w:r>
      <w:r w:rsidRPr="00472976">
        <w:rPr>
          <w:rFonts w:ascii="Calibri" w:hAnsi="Calibri" w:cs="Times New Roman"/>
          <w:sz w:val="22"/>
          <w:szCs w:val="22"/>
          <w:lang w:eastAsia="en-US"/>
        </w:rPr>
        <w:t xml:space="preserve"> TPG Growth, the middle market and growth equity investment platform of TPG, announced today the closing of TPG Growth III, its largest fund dedicated to investments in small- and mid-sized growth companies. The fund reached over $3 billion in aggregate capital commitments, surpassing its fundraising target of $2.75 billion in five months.</w:t>
      </w:r>
    </w:p>
    <w:p w:rsidR="00472976" w:rsidRPr="00472976" w:rsidRDefault="00472976" w:rsidP="00472976">
      <w:pPr>
        <w:spacing w:line="276" w:lineRule="auto"/>
        <w:jc w:val="both"/>
        <w:rPr>
          <w:rFonts w:ascii="Times" w:hAnsi="Times" w:cs="Times New Roman"/>
          <w:sz w:val="20"/>
          <w:szCs w:val="20"/>
          <w:lang w:eastAsia="en-US"/>
        </w:rPr>
      </w:pPr>
      <w:r w:rsidRPr="00472976">
        <w:rPr>
          <w:rFonts w:ascii="Calibri" w:hAnsi="Calibri" w:cs="Times New Roman"/>
          <w:sz w:val="22"/>
          <w:szCs w:val="22"/>
          <w:lang w:eastAsia="en-US"/>
        </w:rPr>
        <w:t> </w:t>
      </w:r>
    </w:p>
    <w:p w:rsidR="00472976" w:rsidRPr="00472976" w:rsidRDefault="00472976" w:rsidP="00472976">
      <w:pPr>
        <w:spacing w:line="276" w:lineRule="auto"/>
        <w:jc w:val="both"/>
        <w:rPr>
          <w:rFonts w:ascii="Times" w:hAnsi="Times" w:cs="Times New Roman"/>
          <w:sz w:val="20"/>
          <w:szCs w:val="20"/>
          <w:lang w:eastAsia="en-US"/>
        </w:rPr>
      </w:pPr>
      <w:r w:rsidRPr="00472976">
        <w:rPr>
          <w:rFonts w:ascii="Calibri" w:hAnsi="Calibri" w:cs="Times New Roman"/>
          <w:sz w:val="22"/>
          <w:szCs w:val="22"/>
          <w:lang w:eastAsia="en-US"/>
        </w:rPr>
        <w:t xml:space="preserve">“The interest in our third fund speaks to the success of TPG’s growth equity strategy. We invest in dynamic companies, partnering with founders and management teams to leverage the full resources of the TPG platform and scale businesses in the U.S. and around the world,” said Bill </w:t>
      </w:r>
      <w:proofErr w:type="spellStart"/>
      <w:r w:rsidRPr="00472976">
        <w:rPr>
          <w:rFonts w:ascii="Calibri" w:hAnsi="Calibri" w:cs="Times New Roman"/>
          <w:sz w:val="22"/>
          <w:szCs w:val="22"/>
          <w:lang w:eastAsia="en-US"/>
        </w:rPr>
        <w:t>McGlashan</w:t>
      </w:r>
      <w:proofErr w:type="spellEnd"/>
      <w:r w:rsidRPr="00472976">
        <w:rPr>
          <w:rFonts w:ascii="Calibri" w:hAnsi="Calibri" w:cs="Times New Roman"/>
          <w:sz w:val="22"/>
          <w:szCs w:val="22"/>
          <w:lang w:eastAsia="en-US"/>
        </w:rPr>
        <w:t>, Founder and Managing Partner of TPG Growth.  “We look forward to identifying investment opportunities that can continue to deliver value for our investors, while helping to build great new companies.”</w:t>
      </w:r>
    </w:p>
    <w:p w:rsidR="00472976" w:rsidRPr="00472976" w:rsidRDefault="00472976" w:rsidP="00472976">
      <w:pPr>
        <w:spacing w:line="276" w:lineRule="auto"/>
        <w:jc w:val="both"/>
        <w:rPr>
          <w:rFonts w:ascii="Times" w:hAnsi="Times" w:cs="Times New Roman"/>
          <w:sz w:val="20"/>
          <w:szCs w:val="20"/>
          <w:lang w:eastAsia="en-US"/>
        </w:rPr>
      </w:pPr>
      <w:r w:rsidRPr="00472976">
        <w:rPr>
          <w:rFonts w:ascii="Calibri" w:hAnsi="Calibri" w:cs="Times New Roman"/>
          <w:sz w:val="22"/>
          <w:szCs w:val="22"/>
          <w:lang w:eastAsia="en-US"/>
        </w:rPr>
        <w:t> </w:t>
      </w:r>
    </w:p>
    <w:p w:rsidR="00472976" w:rsidRPr="00472976" w:rsidRDefault="00472976" w:rsidP="00472976">
      <w:pPr>
        <w:spacing w:line="276" w:lineRule="auto"/>
        <w:jc w:val="both"/>
        <w:rPr>
          <w:rFonts w:ascii="Times" w:hAnsi="Times" w:cs="Times New Roman"/>
          <w:sz w:val="20"/>
          <w:szCs w:val="20"/>
          <w:lang w:eastAsia="en-US"/>
        </w:rPr>
      </w:pPr>
      <w:r w:rsidRPr="00472976">
        <w:rPr>
          <w:rFonts w:ascii="Calibri" w:hAnsi="Calibri" w:cs="Times New Roman"/>
          <w:sz w:val="22"/>
          <w:szCs w:val="22"/>
          <w:lang w:eastAsia="en-US"/>
        </w:rPr>
        <w:t xml:space="preserve">TPG Growth’s current and past investments represent a mix of disruptive and innovative companies across technology, retail and entertainment including </w:t>
      </w:r>
      <w:proofErr w:type="spellStart"/>
      <w:r w:rsidRPr="00472976">
        <w:rPr>
          <w:rFonts w:ascii="Calibri" w:hAnsi="Calibri" w:cs="Times New Roman"/>
          <w:sz w:val="22"/>
          <w:szCs w:val="22"/>
          <w:lang w:eastAsia="en-US"/>
        </w:rPr>
        <w:t>Uber</w:t>
      </w:r>
      <w:proofErr w:type="spellEnd"/>
      <w:r w:rsidRPr="00472976">
        <w:rPr>
          <w:rFonts w:ascii="Calibri" w:hAnsi="Calibri" w:cs="Times New Roman"/>
          <w:sz w:val="22"/>
          <w:szCs w:val="22"/>
          <w:lang w:eastAsia="en-US"/>
        </w:rPr>
        <w:t xml:space="preserve">; </w:t>
      </w:r>
      <w:proofErr w:type="spellStart"/>
      <w:r w:rsidRPr="00472976">
        <w:rPr>
          <w:rFonts w:ascii="Calibri" w:hAnsi="Calibri" w:cs="Times New Roman"/>
          <w:sz w:val="22"/>
          <w:szCs w:val="22"/>
          <w:lang w:eastAsia="en-US"/>
        </w:rPr>
        <w:t>Airbnb</w:t>
      </w:r>
      <w:proofErr w:type="spellEnd"/>
      <w:r w:rsidRPr="00472976">
        <w:rPr>
          <w:rFonts w:ascii="Calibri" w:hAnsi="Calibri" w:cs="Times New Roman"/>
          <w:sz w:val="22"/>
          <w:szCs w:val="22"/>
          <w:lang w:eastAsia="en-US"/>
        </w:rPr>
        <w:t xml:space="preserve">; Box; Domo; </w:t>
      </w:r>
      <w:proofErr w:type="spellStart"/>
      <w:r w:rsidRPr="00472976">
        <w:rPr>
          <w:rFonts w:ascii="Calibri" w:hAnsi="Calibri" w:cs="Times New Roman"/>
          <w:sz w:val="22"/>
          <w:szCs w:val="22"/>
          <w:lang w:eastAsia="en-US"/>
        </w:rPr>
        <w:t>Beautycounter</w:t>
      </w:r>
      <w:proofErr w:type="spellEnd"/>
      <w:r w:rsidRPr="00472976">
        <w:rPr>
          <w:rFonts w:ascii="Calibri" w:hAnsi="Calibri" w:cs="Times New Roman"/>
          <w:sz w:val="22"/>
          <w:szCs w:val="22"/>
          <w:lang w:eastAsia="en-US"/>
        </w:rPr>
        <w:t xml:space="preserve">; Ride; </w:t>
      </w:r>
      <w:proofErr w:type="spellStart"/>
      <w:r w:rsidRPr="00472976">
        <w:rPr>
          <w:rFonts w:ascii="Calibri" w:hAnsi="Calibri" w:cs="Times New Roman"/>
          <w:sz w:val="22"/>
          <w:szCs w:val="22"/>
          <w:lang w:eastAsia="en-US"/>
        </w:rPr>
        <w:t>SurveyMonkey</w:t>
      </w:r>
      <w:proofErr w:type="spellEnd"/>
      <w:r w:rsidRPr="00472976">
        <w:rPr>
          <w:rFonts w:ascii="Calibri" w:hAnsi="Calibri" w:cs="Times New Roman"/>
          <w:sz w:val="22"/>
          <w:szCs w:val="22"/>
          <w:lang w:eastAsia="en-US"/>
        </w:rPr>
        <w:t xml:space="preserve">; Evolution Media, whose companies include Matador, Slingshot and Layer3; STX Entertainment; </w:t>
      </w:r>
      <w:proofErr w:type="spellStart"/>
      <w:r w:rsidRPr="00472976">
        <w:rPr>
          <w:rFonts w:ascii="Calibri" w:hAnsi="Calibri" w:cs="Times New Roman"/>
          <w:sz w:val="22"/>
          <w:szCs w:val="22"/>
          <w:lang w:eastAsia="en-US"/>
        </w:rPr>
        <w:t>e.l.f</w:t>
      </w:r>
      <w:proofErr w:type="spellEnd"/>
      <w:r w:rsidRPr="00472976">
        <w:rPr>
          <w:rFonts w:ascii="Calibri" w:hAnsi="Calibri" w:cs="Times New Roman"/>
          <w:sz w:val="22"/>
          <w:szCs w:val="22"/>
          <w:lang w:eastAsia="en-US"/>
        </w:rPr>
        <w:t xml:space="preserve">. </w:t>
      </w:r>
      <w:proofErr w:type="gramStart"/>
      <w:r w:rsidRPr="00472976">
        <w:rPr>
          <w:rFonts w:ascii="Calibri" w:hAnsi="Calibri" w:cs="Times New Roman"/>
          <w:sz w:val="22"/>
          <w:szCs w:val="22"/>
          <w:lang w:eastAsia="en-US"/>
        </w:rPr>
        <w:t>Cosmetics; Angie’s Artisan Treats; Fender; Apollo Towers; and Masan Group.</w:t>
      </w:r>
      <w:proofErr w:type="gramEnd"/>
      <w:r w:rsidRPr="00472976">
        <w:rPr>
          <w:rFonts w:ascii="Calibri" w:hAnsi="Calibri" w:cs="Times New Roman"/>
          <w:sz w:val="22"/>
          <w:szCs w:val="22"/>
          <w:lang w:eastAsia="en-US"/>
        </w:rPr>
        <w:t xml:space="preserve"> </w:t>
      </w:r>
    </w:p>
    <w:p w:rsidR="00472976" w:rsidRPr="00472976" w:rsidRDefault="00472976" w:rsidP="00472976">
      <w:pPr>
        <w:spacing w:line="276" w:lineRule="auto"/>
        <w:jc w:val="both"/>
        <w:rPr>
          <w:rFonts w:ascii="Times" w:hAnsi="Times" w:cs="Times New Roman"/>
          <w:sz w:val="20"/>
          <w:szCs w:val="20"/>
          <w:lang w:eastAsia="en-US"/>
        </w:rPr>
      </w:pPr>
      <w:r w:rsidRPr="00472976">
        <w:rPr>
          <w:rFonts w:ascii="Calibri" w:hAnsi="Calibri" w:cs="Times New Roman"/>
          <w:sz w:val="22"/>
          <w:szCs w:val="22"/>
          <w:lang w:eastAsia="en-US"/>
        </w:rPr>
        <w:t> </w:t>
      </w:r>
    </w:p>
    <w:p w:rsidR="00472976" w:rsidRPr="00472976" w:rsidRDefault="00472976" w:rsidP="00472976">
      <w:pPr>
        <w:spacing w:line="276" w:lineRule="auto"/>
        <w:jc w:val="both"/>
        <w:rPr>
          <w:rFonts w:ascii="Times" w:hAnsi="Times" w:cs="Times New Roman"/>
          <w:sz w:val="20"/>
          <w:szCs w:val="20"/>
          <w:lang w:eastAsia="en-US"/>
        </w:rPr>
      </w:pPr>
      <w:r w:rsidRPr="00472976">
        <w:rPr>
          <w:rFonts w:ascii="Calibri" w:hAnsi="Calibri" w:cs="Times New Roman"/>
          <w:sz w:val="22"/>
          <w:szCs w:val="22"/>
          <w:lang w:eastAsia="en-US"/>
        </w:rPr>
        <w:t xml:space="preserve">With more than $7 billion in assets under management and committed capital, TPG Growth pursues selective investments in companies in a broad range of industries, with a significant focus on large, emerging markets such as China and India. TPG Growth offers deep sector </w:t>
      </w:r>
      <w:proofErr w:type="gramStart"/>
      <w:r w:rsidRPr="00472976">
        <w:rPr>
          <w:rFonts w:ascii="Calibri" w:hAnsi="Calibri" w:cs="Times New Roman"/>
          <w:sz w:val="22"/>
          <w:szCs w:val="22"/>
          <w:lang w:eastAsia="en-US"/>
        </w:rPr>
        <w:t>knowledge</w:t>
      </w:r>
      <w:proofErr w:type="gramEnd"/>
      <w:r w:rsidRPr="00472976">
        <w:rPr>
          <w:rFonts w:ascii="Calibri" w:hAnsi="Calibri" w:cs="Times New Roman"/>
          <w:sz w:val="22"/>
          <w:szCs w:val="22"/>
          <w:lang w:eastAsia="en-US"/>
        </w:rPr>
        <w:t xml:space="preserve">, operational resources and global experience to drive value creation. Leveraging TPG’s core sector teams, portfolio companies and network, TPG Growth also provides management teams with strategic counsel, global reach and high-level business relationships to help them grow their companies and reach their full potential. </w:t>
      </w:r>
    </w:p>
    <w:p w:rsidR="00472976" w:rsidRPr="00472976" w:rsidRDefault="00472976" w:rsidP="00472976">
      <w:pPr>
        <w:spacing w:line="276" w:lineRule="auto"/>
        <w:jc w:val="both"/>
        <w:rPr>
          <w:rFonts w:ascii="Times" w:hAnsi="Times" w:cs="Times New Roman"/>
          <w:sz w:val="20"/>
          <w:szCs w:val="20"/>
          <w:lang w:eastAsia="en-US"/>
        </w:rPr>
      </w:pPr>
      <w:r w:rsidRPr="00472976">
        <w:rPr>
          <w:rFonts w:ascii="Calibri" w:hAnsi="Calibri" w:cs="Times New Roman"/>
          <w:sz w:val="22"/>
          <w:szCs w:val="22"/>
          <w:lang w:eastAsia="en-US"/>
        </w:rPr>
        <w:t> </w:t>
      </w:r>
    </w:p>
    <w:p w:rsidR="00472976" w:rsidRPr="00472976" w:rsidRDefault="00472976" w:rsidP="00472976">
      <w:pPr>
        <w:spacing w:line="276" w:lineRule="auto"/>
        <w:jc w:val="both"/>
        <w:rPr>
          <w:rFonts w:ascii="Times" w:hAnsi="Times" w:cs="Times New Roman"/>
          <w:sz w:val="20"/>
          <w:szCs w:val="20"/>
          <w:lang w:eastAsia="en-US"/>
        </w:rPr>
      </w:pPr>
      <w:r w:rsidRPr="00472976">
        <w:rPr>
          <w:rFonts w:ascii="Calibri" w:hAnsi="Calibri" w:cs="Times New Roman"/>
          <w:sz w:val="22"/>
          <w:szCs w:val="22"/>
          <w:lang w:eastAsia="en-US"/>
        </w:rPr>
        <w:t>Growth III has a diverse investor base consisting of public and private pension funds, foundations and endowments, insurance companies, and high net worth individuals. More than 80% of the Growth III investors have also invested in previous TPG Growth funds.</w:t>
      </w:r>
    </w:p>
    <w:p w:rsidR="00472976" w:rsidRPr="00472976" w:rsidRDefault="00472976" w:rsidP="00472976">
      <w:pPr>
        <w:spacing w:line="276" w:lineRule="auto"/>
        <w:jc w:val="both"/>
        <w:rPr>
          <w:rFonts w:ascii="Times" w:hAnsi="Times" w:cs="Times New Roman"/>
          <w:sz w:val="20"/>
          <w:szCs w:val="20"/>
          <w:lang w:eastAsia="en-US"/>
        </w:rPr>
      </w:pPr>
      <w:r w:rsidRPr="00472976">
        <w:rPr>
          <w:rFonts w:ascii="Calibri" w:hAnsi="Calibri" w:cs="Times New Roman"/>
          <w:sz w:val="22"/>
          <w:szCs w:val="22"/>
          <w:lang w:eastAsia="en-US"/>
        </w:rPr>
        <w:t> </w:t>
      </w:r>
    </w:p>
    <w:p w:rsidR="00472976" w:rsidRPr="00472976" w:rsidRDefault="00472976" w:rsidP="00472976">
      <w:pPr>
        <w:spacing w:line="276" w:lineRule="auto"/>
        <w:jc w:val="center"/>
        <w:rPr>
          <w:rFonts w:ascii="Times" w:hAnsi="Times" w:cs="Times New Roman"/>
          <w:sz w:val="20"/>
          <w:szCs w:val="20"/>
          <w:lang w:eastAsia="en-US"/>
        </w:rPr>
      </w:pPr>
      <w:r w:rsidRPr="00472976">
        <w:rPr>
          <w:rFonts w:ascii="Calibri" w:hAnsi="Calibri" w:cs="Times New Roman"/>
          <w:sz w:val="22"/>
          <w:szCs w:val="22"/>
          <w:lang w:eastAsia="en-US"/>
        </w:rPr>
        <w:t> </w:t>
      </w:r>
    </w:p>
    <w:p w:rsidR="00472976" w:rsidRPr="00472976" w:rsidRDefault="00472976" w:rsidP="00472976">
      <w:pPr>
        <w:spacing w:line="276" w:lineRule="auto"/>
        <w:jc w:val="both"/>
        <w:rPr>
          <w:rFonts w:ascii="Times" w:hAnsi="Times" w:cs="Times New Roman"/>
          <w:sz w:val="20"/>
          <w:szCs w:val="20"/>
          <w:lang w:eastAsia="en-US"/>
        </w:rPr>
      </w:pPr>
      <w:r w:rsidRPr="00472976">
        <w:rPr>
          <w:rFonts w:ascii="Calibri" w:hAnsi="Calibri" w:cs="Times New Roman"/>
          <w:sz w:val="22"/>
          <w:szCs w:val="22"/>
          <w:lang w:eastAsia="en-US"/>
        </w:rPr>
        <w:t> </w:t>
      </w:r>
    </w:p>
    <w:p w:rsidR="00472976" w:rsidRPr="00472976" w:rsidRDefault="00472976" w:rsidP="00472976">
      <w:pPr>
        <w:shd w:val="clear" w:color="auto" w:fill="FFFFFF"/>
        <w:spacing w:before="100" w:beforeAutospacing="1"/>
        <w:rPr>
          <w:rFonts w:ascii="Times" w:hAnsi="Times" w:cs="Times New Roman"/>
          <w:sz w:val="20"/>
          <w:szCs w:val="20"/>
          <w:lang w:eastAsia="en-US"/>
        </w:rPr>
      </w:pPr>
      <w:r w:rsidRPr="00472976">
        <w:rPr>
          <w:rFonts w:ascii="Times" w:hAnsi="Times" w:cs="Times New Roman"/>
          <w:b/>
          <w:bCs/>
          <w:color w:val="000000"/>
          <w:sz w:val="20"/>
          <w:szCs w:val="20"/>
          <w:lang w:eastAsia="en-US"/>
        </w:rPr>
        <w:t>About TPG Growth</w:t>
      </w:r>
    </w:p>
    <w:p w:rsidR="00472976" w:rsidRPr="00472976" w:rsidRDefault="00472976" w:rsidP="00472976">
      <w:pPr>
        <w:shd w:val="clear" w:color="auto" w:fill="FFFFFF"/>
        <w:spacing w:before="100" w:beforeAutospacing="1"/>
        <w:jc w:val="both"/>
        <w:rPr>
          <w:rFonts w:ascii="Times" w:hAnsi="Times" w:cs="Times New Roman"/>
          <w:sz w:val="20"/>
          <w:szCs w:val="20"/>
          <w:lang w:eastAsia="en-US"/>
        </w:rPr>
      </w:pPr>
      <w:r w:rsidRPr="00472976">
        <w:rPr>
          <w:rFonts w:ascii="Times" w:hAnsi="Times" w:cs="Times New Roman"/>
          <w:color w:val="000000"/>
          <w:sz w:val="20"/>
          <w:szCs w:val="20"/>
          <w:lang w:eastAsia="en-US"/>
        </w:rPr>
        <w:t xml:space="preserve">TPG Growth is the middle market and growth equity investment platform of TPG, the global private investment firm. With more than $7 billion in assets under management and committed capital, TPG Growth targets investments in a broad range of industries and geographies, with a significant focus on the U.S. and large, emerging markets such as China, India, Brazil and Southeast Asia. TPG Growth has the deep sector </w:t>
      </w:r>
      <w:proofErr w:type="gramStart"/>
      <w:r w:rsidRPr="00472976">
        <w:rPr>
          <w:rFonts w:ascii="Times" w:hAnsi="Times" w:cs="Times New Roman"/>
          <w:color w:val="000000"/>
          <w:sz w:val="20"/>
          <w:szCs w:val="20"/>
          <w:lang w:eastAsia="en-US"/>
        </w:rPr>
        <w:t>knowledge,</w:t>
      </w:r>
      <w:proofErr w:type="gramEnd"/>
      <w:r w:rsidRPr="00472976">
        <w:rPr>
          <w:rFonts w:ascii="Times" w:hAnsi="Times" w:cs="Times New Roman"/>
          <w:color w:val="000000"/>
          <w:sz w:val="20"/>
          <w:szCs w:val="20"/>
          <w:lang w:eastAsia="en-US"/>
        </w:rPr>
        <w:t xml:space="preserve"> operational resources and global experience to drive value creation and help </w:t>
      </w:r>
      <w:r w:rsidRPr="00472976">
        <w:rPr>
          <w:rFonts w:ascii="Times" w:hAnsi="Times" w:cs="Times New Roman"/>
          <w:color w:val="000000"/>
          <w:sz w:val="20"/>
          <w:szCs w:val="20"/>
          <w:lang w:eastAsia="en-US"/>
        </w:rPr>
        <w:lastRenderedPageBreak/>
        <w:t xml:space="preserve">companies reach their full potential. Backed by the resources of TPG, which has over $67 billion of assets under management, TPG Growth leverages the firm's sector teams, portfolio companies and network. TPG Growth’s current and past investments represent a mix of disruptive and innovative companies across tech, retail and entertainment including </w:t>
      </w:r>
      <w:proofErr w:type="spellStart"/>
      <w:r w:rsidRPr="00472976">
        <w:rPr>
          <w:rFonts w:ascii="Times" w:hAnsi="Times" w:cs="Times New Roman"/>
          <w:color w:val="000000"/>
          <w:sz w:val="20"/>
          <w:szCs w:val="20"/>
          <w:lang w:eastAsia="en-US"/>
        </w:rPr>
        <w:t>Uber</w:t>
      </w:r>
      <w:proofErr w:type="spellEnd"/>
      <w:r w:rsidRPr="00472976">
        <w:rPr>
          <w:rFonts w:ascii="Times" w:hAnsi="Times" w:cs="Times New Roman"/>
          <w:color w:val="000000"/>
          <w:sz w:val="20"/>
          <w:szCs w:val="20"/>
          <w:lang w:eastAsia="en-US"/>
        </w:rPr>
        <w:t xml:space="preserve">, </w:t>
      </w:r>
      <w:proofErr w:type="spellStart"/>
      <w:r w:rsidRPr="00472976">
        <w:rPr>
          <w:rFonts w:ascii="Times" w:hAnsi="Times" w:cs="Times New Roman"/>
          <w:color w:val="000000"/>
          <w:sz w:val="20"/>
          <w:szCs w:val="20"/>
          <w:lang w:eastAsia="en-US"/>
        </w:rPr>
        <w:t>Airbnb</w:t>
      </w:r>
      <w:proofErr w:type="spellEnd"/>
      <w:r w:rsidRPr="00472976">
        <w:rPr>
          <w:rFonts w:ascii="Times" w:hAnsi="Times" w:cs="Times New Roman"/>
          <w:color w:val="000000"/>
          <w:sz w:val="20"/>
          <w:szCs w:val="20"/>
          <w:lang w:eastAsia="en-US"/>
        </w:rPr>
        <w:t xml:space="preserve">, Box, Domo, </w:t>
      </w:r>
      <w:proofErr w:type="spellStart"/>
      <w:r w:rsidRPr="00472976">
        <w:rPr>
          <w:rFonts w:ascii="Times" w:hAnsi="Times" w:cs="Times New Roman"/>
          <w:color w:val="000000"/>
          <w:sz w:val="20"/>
          <w:szCs w:val="20"/>
          <w:lang w:eastAsia="en-US"/>
        </w:rPr>
        <w:t>Beautycounter</w:t>
      </w:r>
      <w:proofErr w:type="spellEnd"/>
      <w:r w:rsidRPr="00472976">
        <w:rPr>
          <w:rFonts w:ascii="Times" w:hAnsi="Times" w:cs="Times New Roman"/>
          <w:color w:val="000000"/>
          <w:sz w:val="20"/>
          <w:szCs w:val="20"/>
          <w:lang w:eastAsia="en-US"/>
        </w:rPr>
        <w:t xml:space="preserve">, Ride, Angie’s Artisan Treats, Fender, </w:t>
      </w:r>
      <w:proofErr w:type="spellStart"/>
      <w:r w:rsidRPr="00472976">
        <w:rPr>
          <w:rFonts w:ascii="Times" w:hAnsi="Times" w:cs="Times New Roman"/>
          <w:color w:val="000000"/>
          <w:sz w:val="20"/>
          <w:szCs w:val="20"/>
          <w:lang w:eastAsia="en-US"/>
        </w:rPr>
        <w:t>SurveyMonkey</w:t>
      </w:r>
      <w:proofErr w:type="spellEnd"/>
      <w:r w:rsidRPr="00472976">
        <w:rPr>
          <w:rFonts w:ascii="Times" w:hAnsi="Times" w:cs="Times New Roman"/>
          <w:color w:val="000000"/>
          <w:sz w:val="20"/>
          <w:szCs w:val="20"/>
          <w:lang w:eastAsia="en-US"/>
        </w:rPr>
        <w:t xml:space="preserve">, Evolution Media and STX Entertainment, among others. TPG Growth has offices in the United States, China, India and Singapore. For more information visit </w:t>
      </w:r>
      <w:r w:rsidRPr="00472976">
        <w:rPr>
          <w:rFonts w:ascii="Times" w:hAnsi="Times" w:cs="Times New Roman"/>
          <w:sz w:val="20"/>
          <w:szCs w:val="20"/>
          <w:lang w:eastAsia="en-US"/>
        </w:rPr>
        <w:fldChar w:fldCharType="begin"/>
      </w:r>
      <w:r w:rsidRPr="00472976">
        <w:rPr>
          <w:rFonts w:ascii="Times" w:hAnsi="Times" w:cs="Times New Roman"/>
          <w:sz w:val="20"/>
          <w:szCs w:val="20"/>
          <w:lang w:eastAsia="en-US"/>
        </w:rPr>
        <w:instrText xml:space="preserve"> HYPERLINK "http://www.tpggrowth.com" \t "_blank" </w:instrText>
      </w:r>
      <w:r w:rsidRPr="00472976">
        <w:rPr>
          <w:rFonts w:ascii="Times" w:hAnsi="Times" w:cs="Times New Roman"/>
          <w:sz w:val="20"/>
          <w:szCs w:val="20"/>
          <w:lang w:eastAsia="en-US"/>
        </w:rPr>
      </w:r>
      <w:r w:rsidRPr="00472976">
        <w:rPr>
          <w:rFonts w:ascii="Times" w:hAnsi="Times" w:cs="Times New Roman"/>
          <w:sz w:val="20"/>
          <w:szCs w:val="20"/>
          <w:lang w:eastAsia="en-US"/>
        </w:rPr>
        <w:fldChar w:fldCharType="separate"/>
      </w:r>
      <w:r w:rsidRPr="00472976">
        <w:rPr>
          <w:rFonts w:ascii="Times" w:hAnsi="Times" w:cs="Times New Roman"/>
          <w:color w:val="0000FF"/>
          <w:sz w:val="20"/>
          <w:szCs w:val="20"/>
          <w:u w:val="single"/>
          <w:lang w:eastAsia="en-US"/>
        </w:rPr>
        <w:t>www.tpggrowth.com</w:t>
      </w:r>
      <w:r w:rsidRPr="00472976">
        <w:rPr>
          <w:rFonts w:ascii="Times" w:hAnsi="Times" w:cs="Times New Roman"/>
          <w:sz w:val="20"/>
          <w:szCs w:val="20"/>
          <w:lang w:eastAsia="en-US"/>
        </w:rPr>
        <w:fldChar w:fldCharType="end"/>
      </w:r>
      <w:r w:rsidRPr="00472976">
        <w:rPr>
          <w:rFonts w:ascii="Times" w:hAnsi="Times" w:cs="Times New Roman"/>
          <w:color w:val="000000"/>
          <w:sz w:val="20"/>
          <w:szCs w:val="20"/>
          <w:lang w:eastAsia="en-US"/>
        </w:rPr>
        <w:t>.</w:t>
      </w:r>
    </w:p>
    <w:p w:rsidR="00472976" w:rsidRPr="00472976" w:rsidRDefault="00472976" w:rsidP="00472976">
      <w:pPr>
        <w:shd w:val="clear" w:color="auto" w:fill="FFFFFF"/>
        <w:spacing w:before="100" w:beforeAutospacing="1"/>
        <w:rPr>
          <w:rFonts w:ascii="Times" w:hAnsi="Times" w:cs="Times New Roman"/>
          <w:sz w:val="20"/>
          <w:szCs w:val="20"/>
          <w:lang w:eastAsia="en-US"/>
        </w:rPr>
      </w:pPr>
      <w:r w:rsidRPr="00472976">
        <w:rPr>
          <w:rFonts w:ascii="Times" w:hAnsi="Times" w:cs="Times New Roman"/>
          <w:color w:val="000000"/>
          <w:sz w:val="20"/>
          <w:szCs w:val="20"/>
          <w:lang w:eastAsia="en-US"/>
        </w:rPr>
        <w:t> </w:t>
      </w:r>
    </w:p>
    <w:p w:rsidR="00472976" w:rsidRPr="00472976" w:rsidRDefault="00472976" w:rsidP="00472976">
      <w:pPr>
        <w:shd w:val="clear" w:color="auto" w:fill="FFFFFF"/>
        <w:spacing w:before="100" w:beforeAutospacing="1"/>
        <w:rPr>
          <w:rFonts w:ascii="Times" w:hAnsi="Times" w:cs="Times New Roman"/>
          <w:sz w:val="20"/>
          <w:szCs w:val="20"/>
          <w:lang w:eastAsia="en-US"/>
        </w:rPr>
      </w:pPr>
      <w:r w:rsidRPr="00472976">
        <w:rPr>
          <w:rFonts w:ascii="Times" w:hAnsi="Times" w:cs="Times New Roman"/>
          <w:color w:val="000000"/>
          <w:sz w:val="20"/>
          <w:szCs w:val="20"/>
          <w:lang w:eastAsia="en-US"/>
        </w:rPr>
        <w:t> </w:t>
      </w:r>
    </w:p>
    <w:p w:rsidR="00947456" w:rsidRDefault="00947456">
      <w:bookmarkStart w:id="0" w:name="_GoBack"/>
      <w:bookmarkEnd w:id="0"/>
    </w:p>
    <w:sectPr w:rsidR="00947456" w:rsidSect="0027379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76"/>
    <w:rsid w:val="00273796"/>
    <w:rsid w:val="00472976"/>
    <w:rsid w:val="00947456"/>
    <w:rsid w:val="00F0133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CDE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2976"/>
    <w:pPr>
      <w:spacing w:before="100" w:beforeAutospacing="1" w:after="100" w:afterAutospacing="1"/>
    </w:pPr>
    <w:rPr>
      <w:rFonts w:ascii="Times" w:hAnsi="Times" w:cs="Times New Roman"/>
      <w:sz w:val="20"/>
      <w:szCs w:val="20"/>
      <w:lang w:eastAsia="en-US"/>
    </w:rPr>
  </w:style>
  <w:style w:type="character" w:customStyle="1" w:styleId="aqj">
    <w:name w:val="aqj"/>
    <w:basedOn w:val="DefaultParagraphFont"/>
    <w:rsid w:val="00472976"/>
  </w:style>
  <w:style w:type="character" w:styleId="Hyperlink">
    <w:name w:val="Hyperlink"/>
    <w:basedOn w:val="DefaultParagraphFont"/>
    <w:uiPriority w:val="99"/>
    <w:semiHidden/>
    <w:unhideWhenUsed/>
    <w:rsid w:val="0047297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2976"/>
    <w:pPr>
      <w:spacing w:before="100" w:beforeAutospacing="1" w:after="100" w:afterAutospacing="1"/>
    </w:pPr>
    <w:rPr>
      <w:rFonts w:ascii="Times" w:hAnsi="Times" w:cs="Times New Roman"/>
      <w:sz w:val="20"/>
      <w:szCs w:val="20"/>
      <w:lang w:eastAsia="en-US"/>
    </w:rPr>
  </w:style>
  <w:style w:type="character" w:customStyle="1" w:styleId="aqj">
    <w:name w:val="aqj"/>
    <w:basedOn w:val="DefaultParagraphFont"/>
    <w:rsid w:val="00472976"/>
  </w:style>
  <w:style w:type="character" w:styleId="Hyperlink">
    <w:name w:val="Hyperlink"/>
    <w:basedOn w:val="DefaultParagraphFont"/>
    <w:uiPriority w:val="99"/>
    <w:semiHidden/>
    <w:unhideWhenUsed/>
    <w:rsid w:val="004729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975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2912</Characters>
  <Application>Microsoft Macintosh Word</Application>
  <DocSecurity>0</DocSecurity>
  <Lines>24</Lines>
  <Paragraphs>6</Paragraphs>
  <ScaleCrop>false</ScaleCrop>
  <Company>university of missouri</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User</dc:creator>
  <cp:keywords/>
  <dc:description/>
  <cp:lastModifiedBy>n User</cp:lastModifiedBy>
  <cp:revision>1</cp:revision>
  <dcterms:created xsi:type="dcterms:W3CDTF">2015-04-27T13:09:00Z</dcterms:created>
  <dcterms:modified xsi:type="dcterms:W3CDTF">2015-04-27T13:09:00Z</dcterms:modified>
</cp:coreProperties>
</file>